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D663" w14:textId="77777777" w:rsidR="000D464C" w:rsidRPr="000D464C" w:rsidRDefault="000D464C" w:rsidP="000D464C">
      <w:pPr>
        <w:rPr>
          <w:b/>
          <w:sz w:val="22"/>
          <w:szCs w:val="22"/>
          <w:u w:val="single"/>
        </w:rPr>
      </w:pPr>
      <w:bookmarkStart w:id="0" w:name="_GoBack"/>
      <w:bookmarkEnd w:id="0"/>
      <w:r w:rsidRPr="000D464C">
        <w:rPr>
          <w:b/>
          <w:sz w:val="22"/>
          <w:szCs w:val="22"/>
          <w:u w:val="single"/>
        </w:rPr>
        <w:t>Specific Aims</w:t>
      </w:r>
    </w:p>
    <w:p w14:paraId="27F8839C" w14:textId="77777777" w:rsidR="000D464C" w:rsidRDefault="000D464C" w:rsidP="00F26FE4">
      <w:pPr>
        <w:ind w:firstLine="720"/>
        <w:rPr>
          <w:sz w:val="22"/>
          <w:szCs w:val="22"/>
        </w:rPr>
      </w:pPr>
    </w:p>
    <w:p w14:paraId="03DDC3E1" w14:textId="77979451" w:rsidR="00F26FE4" w:rsidRPr="009F6F21" w:rsidRDefault="00F26FE4" w:rsidP="00F26FE4">
      <w:pPr>
        <w:ind w:firstLine="720"/>
        <w:rPr>
          <w:sz w:val="22"/>
          <w:szCs w:val="22"/>
        </w:rPr>
      </w:pPr>
      <w:proofErr w:type="spellStart"/>
      <w:r w:rsidRPr="000D464C">
        <w:rPr>
          <w:sz w:val="22"/>
          <w:szCs w:val="22"/>
        </w:rPr>
        <w:t>Crohn’s</w:t>
      </w:r>
      <w:proofErr w:type="spellEnd"/>
      <w:r w:rsidRPr="000D464C">
        <w:rPr>
          <w:sz w:val="22"/>
          <w:szCs w:val="22"/>
        </w:rPr>
        <w:t xml:space="preserve"> Disease (CD) is a chronic Inflammatory Bowel Disease that results from a </w:t>
      </w:r>
      <w:proofErr w:type="spellStart"/>
      <w:r w:rsidRPr="000D464C">
        <w:rPr>
          <w:sz w:val="22"/>
          <w:szCs w:val="22"/>
        </w:rPr>
        <w:t>dysregulated</w:t>
      </w:r>
      <w:proofErr w:type="spellEnd"/>
      <w:r w:rsidRPr="000D464C">
        <w:rPr>
          <w:sz w:val="22"/>
          <w:szCs w:val="22"/>
        </w:rPr>
        <w:t xml:space="preserve"> interaction between gut </w:t>
      </w:r>
      <w:proofErr w:type="spellStart"/>
      <w:r w:rsidRPr="000D464C">
        <w:rPr>
          <w:sz w:val="22"/>
          <w:szCs w:val="22"/>
        </w:rPr>
        <w:t>microbiota</w:t>
      </w:r>
      <w:proofErr w:type="spellEnd"/>
      <w:r w:rsidRPr="000D464C">
        <w:rPr>
          <w:sz w:val="22"/>
          <w:szCs w:val="22"/>
        </w:rPr>
        <w:t xml:space="preserve"> and the gastrointestinal tract. This disease affects </w:t>
      </w:r>
      <w:r w:rsidR="0092679E">
        <w:rPr>
          <w:sz w:val="22"/>
          <w:szCs w:val="22"/>
        </w:rPr>
        <w:t>millions of</w:t>
      </w:r>
      <w:r w:rsidRPr="000D464C">
        <w:rPr>
          <w:sz w:val="22"/>
          <w:szCs w:val="22"/>
        </w:rPr>
        <w:t xml:space="preserve"> people in the United States, and with no known cure, patients are fated to cope with chronic symptoms including diarrhea, fever, abdominal cramping, reduced appetite and weight loss, perianal disease, and blood in the stool for their entire life. CD has been found to have a strong genetic b</w:t>
      </w:r>
      <w:r w:rsidR="009F6F21">
        <w:rPr>
          <w:sz w:val="22"/>
          <w:szCs w:val="22"/>
        </w:rPr>
        <w:t>asis</w:t>
      </w:r>
      <w:r w:rsidR="009F6F21">
        <w:rPr>
          <w:sz w:val="22"/>
          <w:szCs w:val="22"/>
          <w:vertAlign w:val="superscript"/>
        </w:rPr>
        <w:t>1</w:t>
      </w:r>
      <w:r w:rsidR="009F6F21">
        <w:rPr>
          <w:sz w:val="22"/>
          <w:szCs w:val="22"/>
        </w:rPr>
        <w:t>.</w:t>
      </w:r>
    </w:p>
    <w:p w14:paraId="6DB037CC" w14:textId="49B0D6F2" w:rsidR="00F26FE4" w:rsidRPr="000D464C" w:rsidRDefault="00F26FE4" w:rsidP="00F26FE4">
      <w:pPr>
        <w:ind w:firstLine="720"/>
        <w:rPr>
          <w:sz w:val="22"/>
          <w:szCs w:val="22"/>
        </w:rPr>
      </w:pPr>
      <w:r w:rsidRPr="000D464C">
        <w:rPr>
          <w:sz w:val="22"/>
          <w:szCs w:val="22"/>
        </w:rPr>
        <w:t xml:space="preserve">However, much is still unknown about the relationship between genes and the disease. The PTPN2 gene encodes protein tyrosine phosphatase </w:t>
      </w:r>
      <w:r w:rsidR="000D464C">
        <w:rPr>
          <w:sz w:val="22"/>
          <w:szCs w:val="22"/>
        </w:rPr>
        <w:t xml:space="preserve">(PTP) </w:t>
      </w:r>
      <w:r w:rsidRPr="000D464C">
        <w:rPr>
          <w:sz w:val="22"/>
          <w:szCs w:val="22"/>
        </w:rPr>
        <w:t>that is known to modulate activities of their substrates by dephosphorylating tyrosine residues and is critical for regulati</w:t>
      </w:r>
      <w:r w:rsidR="009F6F21">
        <w:rPr>
          <w:sz w:val="22"/>
          <w:szCs w:val="22"/>
        </w:rPr>
        <w:t xml:space="preserve">ng cellular signaling </w:t>
      </w:r>
      <w:r w:rsidR="009F6F21" w:rsidRPr="009F6F21">
        <w:rPr>
          <w:sz w:val="22"/>
          <w:szCs w:val="22"/>
        </w:rPr>
        <w:t>processes</w:t>
      </w:r>
      <w:r w:rsidR="009F6F21">
        <w:rPr>
          <w:sz w:val="22"/>
          <w:szCs w:val="22"/>
          <w:vertAlign w:val="superscript"/>
        </w:rPr>
        <w:t>2</w:t>
      </w:r>
      <w:r w:rsidR="009F6F21">
        <w:rPr>
          <w:sz w:val="22"/>
          <w:szCs w:val="22"/>
        </w:rPr>
        <w:t xml:space="preserve">.  </w:t>
      </w:r>
      <w:r w:rsidRPr="009F6F21">
        <w:rPr>
          <w:sz w:val="22"/>
          <w:szCs w:val="22"/>
        </w:rPr>
        <w:t>PTPN2</w:t>
      </w:r>
      <w:r w:rsidRPr="000D464C">
        <w:rPr>
          <w:sz w:val="22"/>
          <w:szCs w:val="22"/>
        </w:rPr>
        <w:t xml:space="preserve"> has been associated with CD and the two variants related with CD have been known to have affects on autophagy formation, electrolyte transport</w:t>
      </w:r>
      <w:r w:rsidR="009F6F21">
        <w:rPr>
          <w:sz w:val="22"/>
          <w:szCs w:val="22"/>
        </w:rPr>
        <w:t>, and T cell function</w:t>
      </w:r>
      <w:r w:rsidR="009F6F21">
        <w:rPr>
          <w:sz w:val="22"/>
          <w:szCs w:val="22"/>
          <w:vertAlign w:val="superscript"/>
        </w:rPr>
        <w:t>2</w:t>
      </w:r>
      <w:r w:rsidR="009F6F21">
        <w:rPr>
          <w:sz w:val="22"/>
          <w:szCs w:val="22"/>
        </w:rPr>
        <w:t xml:space="preserve">. </w:t>
      </w:r>
      <w:r w:rsidRPr="000D464C">
        <w:rPr>
          <w:sz w:val="22"/>
          <w:szCs w:val="22"/>
        </w:rPr>
        <w:t>Much has been investigated with the variant 1</w:t>
      </w:r>
      <w:r w:rsidR="00615F79">
        <w:rPr>
          <w:sz w:val="22"/>
          <w:szCs w:val="22"/>
        </w:rPr>
        <w:t>,</w:t>
      </w:r>
      <w:r w:rsidRPr="000D464C">
        <w:rPr>
          <w:sz w:val="22"/>
          <w:szCs w:val="22"/>
        </w:rPr>
        <w:t xml:space="preserve"> like it</w:t>
      </w:r>
      <w:r w:rsidR="00615F79">
        <w:rPr>
          <w:sz w:val="22"/>
          <w:szCs w:val="22"/>
        </w:rPr>
        <w:t>’</w:t>
      </w:r>
      <w:r w:rsidRPr="000D464C">
        <w:rPr>
          <w:sz w:val="22"/>
          <w:szCs w:val="22"/>
        </w:rPr>
        <w:t>s abnormal autophagosome formation in the setting of chronic inflammatory conditions and is regarde</w:t>
      </w:r>
      <w:r w:rsidR="004F1D22">
        <w:rPr>
          <w:sz w:val="22"/>
          <w:szCs w:val="22"/>
        </w:rPr>
        <w:t>d as a loss of function variant</w:t>
      </w:r>
      <w:r w:rsidR="004F1D22">
        <w:rPr>
          <w:sz w:val="22"/>
          <w:szCs w:val="22"/>
          <w:vertAlign w:val="superscript"/>
        </w:rPr>
        <w:t>3</w:t>
      </w:r>
      <w:r w:rsidR="004F1D22">
        <w:rPr>
          <w:sz w:val="22"/>
          <w:szCs w:val="22"/>
        </w:rPr>
        <w:t xml:space="preserve">. </w:t>
      </w:r>
      <w:r w:rsidRPr="000D464C">
        <w:rPr>
          <w:sz w:val="22"/>
          <w:szCs w:val="22"/>
        </w:rPr>
        <w:t xml:space="preserve">However, this site is located 30,000 </w:t>
      </w:r>
      <w:proofErr w:type="spellStart"/>
      <w:r w:rsidRPr="000D464C">
        <w:rPr>
          <w:sz w:val="22"/>
          <w:szCs w:val="22"/>
        </w:rPr>
        <w:t>bp</w:t>
      </w:r>
      <w:proofErr w:type="spellEnd"/>
      <w:r w:rsidRPr="000D464C">
        <w:rPr>
          <w:sz w:val="22"/>
          <w:szCs w:val="22"/>
        </w:rPr>
        <w:t xml:space="preserve"> upstream of the PTPN2 transcriptional start site. </w:t>
      </w:r>
    </w:p>
    <w:p w14:paraId="1C597BA2" w14:textId="5221B956" w:rsidR="00F26FE4" w:rsidRPr="000D464C" w:rsidRDefault="00F26FE4" w:rsidP="00F26FE4">
      <w:pPr>
        <w:ind w:firstLine="720"/>
        <w:rPr>
          <w:sz w:val="22"/>
          <w:szCs w:val="22"/>
        </w:rPr>
      </w:pPr>
      <w:r w:rsidRPr="000D464C">
        <w:rPr>
          <w:sz w:val="22"/>
          <w:szCs w:val="22"/>
        </w:rPr>
        <w:t>My goal is to further investigat</w:t>
      </w:r>
      <w:r w:rsidR="00615F79">
        <w:rPr>
          <w:sz w:val="22"/>
          <w:szCs w:val="22"/>
        </w:rPr>
        <w:t>e the other variant, variant 2</w:t>
      </w:r>
      <w:r w:rsidR="004F1D22">
        <w:rPr>
          <w:sz w:val="22"/>
          <w:szCs w:val="22"/>
        </w:rPr>
        <w:t xml:space="preserve">. </w:t>
      </w:r>
      <w:r w:rsidR="00615F79">
        <w:rPr>
          <w:sz w:val="22"/>
          <w:szCs w:val="22"/>
        </w:rPr>
        <w:t>Variant 2</w:t>
      </w:r>
      <w:r w:rsidRPr="000D464C">
        <w:rPr>
          <w:sz w:val="22"/>
          <w:szCs w:val="22"/>
        </w:rPr>
        <w:t xml:space="preserve"> is located in intron 7 of the PTPN2 locus</w:t>
      </w:r>
      <w:r w:rsidR="00615F79">
        <w:rPr>
          <w:sz w:val="22"/>
          <w:szCs w:val="22"/>
        </w:rPr>
        <w:t xml:space="preserve"> and </w:t>
      </w:r>
      <w:r w:rsidRPr="000D464C">
        <w:rPr>
          <w:sz w:val="22"/>
          <w:szCs w:val="22"/>
        </w:rPr>
        <w:t>has be</w:t>
      </w:r>
      <w:r w:rsidR="004F1D22">
        <w:rPr>
          <w:sz w:val="22"/>
          <w:szCs w:val="22"/>
        </w:rPr>
        <w:t>en found to increase risk for CD</w:t>
      </w:r>
      <w:r w:rsidR="0092679E">
        <w:rPr>
          <w:sz w:val="22"/>
          <w:szCs w:val="22"/>
          <w:vertAlign w:val="superscript"/>
        </w:rPr>
        <w:t xml:space="preserve"> </w:t>
      </w:r>
      <w:r w:rsidR="0092679E">
        <w:rPr>
          <w:sz w:val="22"/>
          <w:szCs w:val="22"/>
        </w:rPr>
        <w:t>and result in problems with autophagosome formation</w:t>
      </w:r>
      <w:r w:rsidR="0092679E">
        <w:rPr>
          <w:sz w:val="22"/>
          <w:szCs w:val="22"/>
          <w:vertAlign w:val="superscript"/>
        </w:rPr>
        <w:t>3</w:t>
      </w:r>
      <w:r w:rsidRPr="000D464C">
        <w:rPr>
          <w:sz w:val="22"/>
          <w:szCs w:val="22"/>
        </w:rPr>
        <w:t xml:space="preserve">, but not enough studies have been performed to fully elucidate the variant’s mechanistic involvement in PTPN2 dysfunction and role in CD. </w:t>
      </w:r>
      <w:r w:rsidR="0092679E">
        <w:rPr>
          <w:sz w:val="22"/>
          <w:szCs w:val="22"/>
        </w:rPr>
        <w:t>MTOR is known to stimulate autophagosome formation.</w:t>
      </w:r>
      <w:r w:rsidR="002E11FD">
        <w:rPr>
          <w:sz w:val="22"/>
          <w:szCs w:val="22"/>
        </w:rPr>
        <w:t xml:space="preserve"> </w:t>
      </w:r>
      <w:r w:rsidRPr="000D464C">
        <w:rPr>
          <w:sz w:val="22"/>
          <w:szCs w:val="22"/>
        </w:rPr>
        <w:t>More knowledge on the mechanism behind this variant’s affects</w:t>
      </w:r>
      <w:r w:rsidR="002E11FD">
        <w:rPr>
          <w:sz w:val="22"/>
          <w:szCs w:val="22"/>
        </w:rPr>
        <w:t xml:space="preserve"> with the use of </w:t>
      </w:r>
      <w:proofErr w:type="spellStart"/>
      <w:r w:rsidR="0092679E">
        <w:rPr>
          <w:sz w:val="22"/>
          <w:szCs w:val="22"/>
        </w:rPr>
        <w:t>mTOR</w:t>
      </w:r>
      <w:proofErr w:type="spellEnd"/>
      <w:r w:rsidRPr="000D464C">
        <w:rPr>
          <w:sz w:val="22"/>
          <w:szCs w:val="22"/>
        </w:rPr>
        <w:t xml:space="preserve"> in PTPN2 perturbation </w:t>
      </w:r>
      <w:r w:rsidR="00615F79">
        <w:rPr>
          <w:sz w:val="22"/>
          <w:szCs w:val="22"/>
        </w:rPr>
        <w:t xml:space="preserve">will </w:t>
      </w:r>
      <w:r w:rsidRPr="000D464C">
        <w:rPr>
          <w:sz w:val="22"/>
          <w:szCs w:val="22"/>
        </w:rPr>
        <w:t xml:space="preserve">help progress CD research in order to </w:t>
      </w:r>
      <w:r w:rsidR="00615F79">
        <w:rPr>
          <w:sz w:val="22"/>
          <w:szCs w:val="22"/>
        </w:rPr>
        <w:t>improve treatment and diagnosis.</w:t>
      </w:r>
    </w:p>
    <w:p w14:paraId="123BB7EB" w14:textId="08391764" w:rsidR="00921923" w:rsidRPr="00DD1108" w:rsidRDefault="00A95EAF" w:rsidP="002E11FD">
      <w:pPr>
        <w:ind w:firstLine="720"/>
      </w:pPr>
      <w:r w:rsidRPr="00DD1108">
        <w:rPr>
          <w:b/>
        </w:rPr>
        <w:t xml:space="preserve">I hypothesize </w:t>
      </w:r>
      <w:r w:rsidR="00DD1108">
        <w:t>that</w:t>
      </w:r>
      <w:r w:rsidRPr="00DD1108">
        <w:t xml:space="preserve"> variant 2’s effect on the PTPN2 gene </w:t>
      </w:r>
      <w:r w:rsidR="00921923" w:rsidRPr="00DD1108">
        <w:t xml:space="preserve">is </w:t>
      </w:r>
      <w:r w:rsidR="00DD1108">
        <w:t>resulting in</w:t>
      </w:r>
      <w:r w:rsidR="00DD1108" w:rsidRPr="00DD1108">
        <w:t xml:space="preserve"> signaling defects betwee</w:t>
      </w:r>
      <w:r w:rsidR="00DD1108">
        <w:t xml:space="preserve">n </w:t>
      </w:r>
      <w:proofErr w:type="spellStart"/>
      <w:r w:rsidR="00DD1108">
        <w:t>mTOR</w:t>
      </w:r>
      <w:proofErr w:type="spellEnd"/>
      <w:r w:rsidR="00DD1108">
        <w:t xml:space="preserve"> and autophagy promotion. </w:t>
      </w:r>
    </w:p>
    <w:p w14:paraId="0B41D25D" w14:textId="77777777" w:rsidR="00F26FE4" w:rsidRPr="000D464C" w:rsidRDefault="00F26FE4" w:rsidP="00F26FE4">
      <w:pPr>
        <w:rPr>
          <w:sz w:val="22"/>
          <w:szCs w:val="22"/>
        </w:rPr>
      </w:pPr>
    </w:p>
    <w:p w14:paraId="772FF833" w14:textId="1D28C737" w:rsidR="00F26FE4" w:rsidRPr="000D464C" w:rsidRDefault="00F26FE4" w:rsidP="00F26FE4">
      <w:pPr>
        <w:rPr>
          <w:sz w:val="22"/>
          <w:szCs w:val="22"/>
        </w:rPr>
      </w:pPr>
      <w:r w:rsidRPr="000D464C">
        <w:rPr>
          <w:b/>
          <w:sz w:val="22"/>
          <w:szCs w:val="22"/>
          <w:u w:val="single"/>
        </w:rPr>
        <w:t xml:space="preserve">Specific Aim 1: </w:t>
      </w:r>
      <w:r w:rsidRPr="000D464C">
        <w:rPr>
          <w:sz w:val="22"/>
          <w:szCs w:val="22"/>
        </w:rPr>
        <w:t>To</w:t>
      </w:r>
      <w:r w:rsidR="002E11FD">
        <w:rPr>
          <w:sz w:val="22"/>
          <w:szCs w:val="22"/>
        </w:rPr>
        <w:t xml:space="preserve"> determine </w:t>
      </w:r>
      <w:r w:rsidR="0092679E">
        <w:rPr>
          <w:sz w:val="22"/>
          <w:szCs w:val="22"/>
        </w:rPr>
        <w:t xml:space="preserve">where </w:t>
      </w:r>
      <w:proofErr w:type="spellStart"/>
      <w:r w:rsidR="0092679E">
        <w:rPr>
          <w:sz w:val="22"/>
          <w:szCs w:val="22"/>
        </w:rPr>
        <w:t>mTOR</w:t>
      </w:r>
      <w:proofErr w:type="spellEnd"/>
      <w:r w:rsidR="0092679E">
        <w:rPr>
          <w:sz w:val="22"/>
          <w:szCs w:val="22"/>
        </w:rPr>
        <w:t xml:space="preserve"> is localizing (if at all) in variant 2. </w:t>
      </w:r>
    </w:p>
    <w:p w14:paraId="04C5B185" w14:textId="72D008B5" w:rsidR="000D464C" w:rsidRPr="000D464C" w:rsidRDefault="00F26FE4" w:rsidP="00F26FE4">
      <w:pPr>
        <w:rPr>
          <w:sz w:val="22"/>
          <w:szCs w:val="22"/>
        </w:rPr>
      </w:pPr>
      <w:r w:rsidRPr="000D464C">
        <w:rPr>
          <w:b/>
          <w:sz w:val="22"/>
          <w:szCs w:val="22"/>
        </w:rPr>
        <w:t>Approach</w:t>
      </w:r>
      <w:r w:rsidRPr="000D464C">
        <w:rPr>
          <w:sz w:val="22"/>
          <w:szCs w:val="22"/>
        </w:rPr>
        <w:t xml:space="preserve">: </w:t>
      </w:r>
      <w:r w:rsidR="0092679E">
        <w:rPr>
          <w:sz w:val="22"/>
          <w:szCs w:val="22"/>
        </w:rPr>
        <w:t xml:space="preserve">Use GFP to fluoresce </w:t>
      </w:r>
      <w:proofErr w:type="spellStart"/>
      <w:r w:rsidR="0092679E">
        <w:rPr>
          <w:sz w:val="22"/>
          <w:szCs w:val="22"/>
        </w:rPr>
        <w:t>mTOR</w:t>
      </w:r>
      <w:proofErr w:type="spellEnd"/>
      <w:r w:rsidR="0092679E">
        <w:rPr>
          <w:sz w:val="22"/>
          <w:szCs w:val="22"/>
        </w:rPr>
        <w:t xml:space="preserve"> and see where it localizes within the cell; identify differences between localization in variant 2 and WT. </w:t>
      </w:r>
    </w:p>
    <w:p w14:paraId="2F37F384" w14:textId="7FCA204E" w:rsidR="00F26FE4" w:rsidRPr="000D464C" w:rsidRDefault="00F26FE4" w:rsidP="00F26FE4">
      <w:pPr>
        <w:rPr>
          <w:sz w:val="22"/>
          <w:szCs w:val="22"/>
        </w:rPr>
      </w:pPr>
      <w:proofErr w:type="spellStart"/>
      <w:r w:rsidRPr="000D464C">
        <w:rPr>
          <w:b/>
          <w:sz w:val="22"/>
          <w:szCs w:val="22"/>
          <w:u w:val="single"/>
        </w:rPr>
        <w:t>Speciifc</w:t>
      </w:r>
      <w:proofErr w:type="spellEnd"/>
      <w:r w:rsidRPr="000D464C">
        <w:rPr>
          <w:b/>
          <w:sz w:val="22"/>
          <w:szCs w:val="22"/>
          <w:u w:val="single"/>
        </w:rPr>
        <w:t xml:space="preserve"> Aim 2: </w:t>
      </w:r>
      <w:r w:rsidR="00DD1108">
        <w:rPr>
          <w:sz w:val="22"/>
          <w:szCs w:val="22"/>
        </w:rPr>
        <w:t xml:space="preserve"> Find other protein-</w:t>
      </w:r>
      <w:r w:rsidR="0092679E">
        <w:rPr>
          <w:sz w:val="22"/>
          <w:szCs w:val="22"/>
        </w:rPr>
        <w:t xml:space="preserve">binding partners for variant 2 that could be </w:t>
      </w:r>
      <w:r w:rsidR="00DD1108">
        <w:rPr>
          <w:sz w:val="22"/>
          <w:szCs w:val="22"/>
        </w:rPr>
        <w:t xml:space="preserve">involved with </w:t>
      </w:r>
      <w:proofErr w:type="spellStart"/>
      <w:r w:rsidR="00DD1108">
        <w:rPr>
          <w:sz w:val="22"/>
          <w:szCs w:val="22"/>
        </w:rPr>
        <w:t>mTOR</w:t>
      </w:r>
      <w:proofErr w:type="spellEnd"/>
      <w:r w:rsidR="00DD1108">
        <w:rPr>
          <w:sz w:val="22"/>
          <w:szCs w:val="22"/>
        </w:rPr>
        <w:t xml:space="preserve"> inability to promote autophagy. </w:t>
      </w:r>
    </w:p>
    <w:p w14:paraId="1085CB46" w14:textId="64C877D2" w:rsidR="00F26FE4" w:rsidRPr="000D464C" w:rsidRDefault="00F26FE4" w:rsidP="00F26FE4">
      <w:pPr>
        <w:rPr>
          <w:sz w:val="22"/>
          <w:szCs w:val="22"/>
        </w:rPr>
      </w:pPr>
      <w:r w:rsidRPr="000D464C">
        <w:rPr>
          <w:b/>
          <w:sz w:val="22"/>
          <w:szCs w:val="22"/>
        </w:rPr>
        <w:t xml:space="preserve">Approach: </w:t>
      </w:r>
      <w:r w:rsidR="0092679E">
        <w:rPr>
          <w:sz w:val="22"/>
          <w:szCs w:val="22"/>
        </w:rPr>
        <w:t>Utilize mass spectrometry of localization site</w:t>
      </w:r>
      <w:r w:rsidR="00DD1108">
        <w:rPr>
          <w:sz w:val="22"/>
          <w:szCs w:val="22"/>
        </w:rPr>
        <w:t xml:space="preserve"> found in the first specific aim. </w:t>
      </w:r>
      <w:r w:rsidR="0092679E">
        <w:rPr>
          <w:sz w:val="22"/>
          <w:szCs w:val="22"/>
        </w:rPr>
        <w:t xml:space="preserve"> </w:t>
      </w:r>
    </w:p>
    <w:p w14:paraId="77D3F85F" w14:textId="77777777" w:rsidR="00F26FE4" w:rsidRPr="000D464C" w:rsidRDefault="00F26FE4" w:rsidP="00F26FE4">
      <w:pPr>
        <w:rPr>
          <w:sz w:val="22"/>
          <w:szCs w:val="22"/>
        </w:rPr>
      </w:pPr>
    </w:p>
    <w:p w14:paraId="19EC3A58" w14:textId="0691A4A1" w:rsidR="00F26FE4" w:rsidRPr="000D464C" w:rsidRDefault="00F26FE4" w:rsidP="004F1D22">
      <w:pPr>
        <w:ind w:firstLine="720"/>
        <w:rPr>
          <w:sz w:val="22"/>
          <w:szCs w:val="22"/>
        </w:rPr>
      </w:pPr>
      <w:r w:rsidRPr="000D464C">
        <w:rPr>
          <w:sz w:val="22"/>
          <w:szCs w:val="22"/>
        </w:rPr>
        <w:t xml:space="preserve">I expect to reveal </w:t>
      </w:r>
      <w:r w:rsidR="0092679E">
        <w:rPr>
          <w:sz w:val="22"/>
          <w:szCs w:val="22"/>
        </w:rPr>
        <w:t xml:space="preserve">some elements of </w:t>
      </w:r>
      <w:r w:rsidRPr="000D464C">
        <w:rPr>
          <w:sz w:val="22"/>
          <w:szCs w:val="22"/>
        </w:rPr>
        <w:t xml:space="preserve">the </w:t>
      </w:r>
      <w:r w:rsidR="0092679E">
        <w:rPr>
          <w:sz w:val="22"/>
          <w:szCs w:val="22"/>
        </w:rPr>
        <w:t xml:space="preserve">defected </w:t>
      </w:r>
      <w:r w:rsidRPr="000D464C">
        <w:rPr>
          <w:sz w:val="22"/>
          <w:szCs w:val="22"/>
        </w:rPr>
        <w:t>mechanism behind PTPN2 variant 2. This knowledge will contribute to the future of CD treatment and prevention</w:t>
      </w:r>
      <w:r w:rsidR="000D464C" w:rsidRPr="000D464C">
        <w:rPr>
          <w:sz w:val="22"/>
          <w:szCs w:val="22"/>
        </w:rPr>
        <w:t>,</w:t>
      </w:r>
      <w:r w:rsidRPr="000D464C">
        <w:rPr>
          <w:sz w:val="22"/>
          <w:szCs w:val="22"/>
        </w:rPr>
        <w:t xml:space="preserve"> which has the potential to positively benefit millions affected by this brutal disease. </w:t>
      </w:r>
    </w:p>
    <w:p w14:paraId="1686EFC1" w14:textId="77777777" w:rsidR="00F26FE4" w:rsidRPr="000D464C" w:rsidRDefault="00F26FE4" w:rsidP="00F26FE4">
      <w:pPr>
        <w:rPr>
          <w:sz w:val="22"/>
          <w:szCs w:val="22"/>
        </w:rPr>
      </w:pPr>
    </w:p>
    <w:p w14:paraId="51A871EA" w14:textId="77777777" w:rsidR="00F26FE4" w:rsidRPr="000D464C" w:rsidRDefault="00F26FE4" w:rsidP="00F26FE4">
      <w:pPr>
        <w:rPr>
          <w:sz w:val="22"/>
          <w:szCs w:val="22"/>
        </w:rPr>
      </w:pPr>
    </w:p>
    <w:p w14:paraId="4626FDB1" w14:textId="77777777" w:rsidR="00F26FE4" w:rsidRPr="000D464C" w:rsidRDefault="00F26FE4" w:rsidP="00F26FE4">
      <w:pPr>
        <w:rPr>
          <w:sz w:val="22"/>
          <w:szCs w:val="22"/>
        </w:rPr>
      </w:pPr>
    </w:p>
    <w:p w14:paraId="60DF476A" w14:textId="77777777" w:rsidR="00F26FE4" w:rsidRPr="000D464C" w:rsidRDefault="00F26FE4" w:rsidP="00F26FE4">
      <w:pPr>
        <w:rPr>
          <w:sz w:val="22"/>
          <w:szCs w:val="22"/>
        </w:rPr>
      </w:pPr>
    </w:p>
    <w:p w14:paraId="70C39EB9" w14:textId="77777777" w:rsidR="00F26FE4" w:rsidRPr="000D464C" w:rsidRDefault="00F26FE4" w:rsidP="00F26FE4">
      <w:pPr>
        <w:rPr>
          <w:sz w:val="22"/>
          <w:szCs w:val="22"/>
        </w:rPr>
      </w:pPr>
    </w:p>
    <w:p w14:paraId="1BAD0AA8" w14:textId="77777777" w:rsidR="004F1D22" w:rsidRDefault="004F1D22" w:rsidP="00F26FE4">
      <w:pPr>
        <w:rPr>
          <w:sz w:val="22"/>
          <w:szCs w:val="22"/>
        </w:rPr>
      </w:pPr>
    </w:p>
    <w:p w14:paraId="587E94CA" w14:textId="77777777" w:rsidR="004F1D22" w:rsidRDefault="004F1D22" w:rsidP="00F26FE4">
      <w:pPr>
        <w:rPr>
          <w:sz w:val="22"/>
          <w:szCs w:val="22"/>
        </w:rPr>
      </w:pPr>
    </w:p>
    <w:p w14:paraId="0B1EE759" w14:textId="77777777" w:rsidR="004F1D22" w:rsidRDefault="004F1D22" w:rsidP="00F26FE4">
      <w:pPr>
        <w:rPr>
          <w:sz w:val="22"/>
          <w:szCs w:val="22"/>
        </w:rPr>
      </w:pPr>
    </w:p>
    <w:p w14:paraId="3B9DEC44" w14:textId="77777777" w:rsidR="004F1D22" w:rsidRDefault="004F1D22" w:rsidP="00F26FE4">
      <w:pPr>
        <w:rPr>
          <w:sz w:val="22"/>
          <w:szCs w:val="22"/>
        </w:rPr>
      </w:pPr>
    </w:p>
    <w:p w14:paraId="347DC99E" w14:textId="77777777" w:rsidR="004F1D22" w:rsidRDefault="004F1D22" w:rsidP="00F26FE4">
      <w:pPr>
        <w:rPr>
          <w:sz w:val="22"/>
          <w:szCs w:val="22"/>
        </w:rPr>
      </w:pPr>
    </w:p>
    <w:p w14:paraId="58AC6EDD" w14:textId="77777777" w:rsidR="004F1D22" w:rsidRDefault="004F1D22" w:rsidP="00F26FE4">
      <w:pPr>
        <w:rPr>
          <w:sz w:val="22"/>
          <w:szCs w:val="22"/>
        </w:rPr>
      </w:pPr>
    </w:p>
    <w:p w14:paraId="6A260487" w14:textId="77777777" w:rsidR="004F1D22" w:rsidRDefault="004F1D22" w:rsidP="00F26FE4">
      <w:pPr>
        <w:rPr>
          <w:sz w:val="22"/>
          <w:szCs w:val="22"/>
        </w:rPr>
      </w:pPr>
    </w:p>
    <w:p w14:paraId="4F888CA1" w14:textId="77777777" w:rsidR="004F1D22" w:rsidRDefault="004F1D22" w:rsidP="00F26FE4">
      <w:pPr>
        <w:rPr>
          <w:sz w:val="22"/>
          <w:szCs w:val="22"/>
        </w:rPr>
      </w:pPr>
    </w:p>
    <w:p w14:paraId="4487D14F" w14:textId="77777777" w:rsidR="00F26FE4" w:rsidRPr="000D464C" w:rsidRDefault="00F26FE4" w:rsidP="00F26FE4">
      <w:pPr>
        <w:rPr>
          <w:sz w:val="22"/>
          <w:szCs w:val="22"/>
        </w:rPr>
      </w:pPr>
      <w:r w:rsidRPr="000D464C">
        <w:rPr>
          <w:sz w:val="22"/>
          <w:szCs w:val="22"/>
        </w:rPr>
        <w:lastRenderedPageBreak/>
        <w:t>References:</w:t>
      </w:r>
    </w:p>
    <w:p w14:paraId="29758EDB" w14:textId="77777777" w:rsidR="00F26FE4" w:rsidRPr="000D464C" w:rsidRDefault="00F26FE4" w:rsidP="00F26FE4">
      <w:pPr>
        <w:rPr>
          <w:sz w:val="22"/>
          <w:szCs w:val="22"/>
        </w:rPr>
      </w:pPr>
    </w:p>
    <w:p w14:paraId="1DF62228" w14:textId="77777777" w:rsidR="009F6F21" w:rsidRPr="009F6F21" w:rsidRDefault="009F6F21" w:rsidP="009F6F21">
      <w:pPr>
        <w:pStyle w:val="ListParagraph"/>
        <w:numPr>
          <w:ilvl w:val="0"/>
          <w:numId w:val="2"/>
        </w:numPr>
        <w:rPr>
          <w:sz w:val="22"/>
          <w:szCs w:val="22"/>
        </w:rPr>
      </w:pPr>
      <w:r w:rsidRPr="009F6F21">
        <w:rPr>
          <w:sz w:val="22"/>
          <w:szCs w:val="22"/>
        </w:rPr>
        <w:t xml:space="preserve">Hollander, D. 1999. Intestinal permeability, leaky gut, and intestinal disorders. </w:t>
      </w:r>
      <w:proofErr w:type="spellStart"/>
      <w:r w:rsidRPr="009F6F21">
        <w:rPr>
          <w:i/>
          <w:sz w:val="22"/>
          <w:szCs w:val="22"/>
        </w:rPr>
        <w:t>Curr</w:t>
      </w:r>
      <w:proofErr w:type="spellEnd"/>
      <w:r w:rsidRPr="009F6F21">
        <w:rPr>
          <w:i/>
          <w:sz w:val="22"/>
          <w:szCs w:val="22"/>
        </w:rPr>
        <w:t xml:space="preserve"> </w:t>
      </w:r>
      <w:proofErr w:type="spellStart"/>
      <w:r w:rsidRPr="009F6F21">
        <w:rPr>
          <w:i/>
          <w:sz w:val="22"/>
          <w:szCs w:val="22"/>
        </w:rPr>
        <w:t>Gastroenterol</w:t>
      </w:r>
      <w:proofErr w:type="spellEnd"/>
      <w:r w:rsidRPr="009F6F21">
        <w:rPr>
          <w:i/>
          <w:sz w:val="22"/>
          <w:szCs w:val="22"/>
        </w:rPr>
        <w:t xml:space="preserve">. Rep. </w:t>
      </w:r>
      <w:r w:rsidRPr="009F6F21">
        <w:rPr>
          <w:sz w:val="22"/>
          <w:szCs w:val="22"/>
        </w:rPr>
        <w:t xml:space="preserve">1999. 1:410-416. </w:t>
      </w:r>
    </w:p>
    <w:p w14:paraId="06890DA9" w14:textId="77777777" w:rsidR="009F6F21" w:rsidRDefault="00F26FE4" w:rsidP="009F6F21">
      <w:pPr>
        <w:pStyle w:val="ListParagraph"/>
        <w:numPr>
          <w:ilvl w:val="0"/>
          <w:numId w:val="2"/>
        </w:numPr>
        <w:rPr>
          <w:sz w:val="22"/>
          <w:szCs w:val="22"/>
        </w:rPr>
      </w:pPr>
      <w:proofErr w:type="spellStart"/>
      <w:r w:rsidRPr="009F6F21">
        <w:rPr>
          <w:sz w:val="22"/>
          <w:szCs w:val="22"/>
        </w:rPr>
        <w:t>Spalinger</w:t>
      </w:r>
      <w:proofErr w:type="spellEnd"/>
      <w:r w:rsidRPr="009F6F21">
        <w:rPr>
          <w:sz w:val="22"/>
          <w:szCs w:val="22"/>
        </w:rPr>
        <w:t xml:space="preserve"> M, </w:t>
      </w:r>
      <w:proofErr w:type="spellStart"/>
      <w:r w:rsidRPr="009F6F21">
        <w:rPr>
          <w:sz w:val="22"/>
          <w:szCs w:val="22"/>
        </w:rPr>
        <w:t>McCole</w:t>
      </w:r>
      <w:proofErr w:type="spellEnd"/>
      <w:r w:rsidRPr="009F6F21">
        <w:rPr>
          <w:sz w:val="22"/>
          <w:szCs w:val="22"/>
        </w:rPr>
        <w:t xml:space="preserve"> D, </w:t>
      </w:r>
      <w:proofErr w:type="spellStart"/>
      <w:r w:rsidRPr="009F6F21">
        <w:rPr>
          <w:sz w:val="22"/>
          <w:szCs w:val="22"/>
        </w:rPr>
        <w:t>Declain</w:t>
      </w:r>
      <w:proofErr w:type="spellEnd"/>
      <w:r w:rsidRPr="009F6F21">
        <w:rPr>
          <w:sz w:val="22"/>
          <w:szCs w:val="22"/>
        </w:rPr>
        <w:t xml:space="preserve"> F, </w:t>
      </w:r>
      <w:proofErr w:type="gramStart"/>
      <w:r w:rsidRPr="009F6F21">
        <w:rPr>
          <w:i/>
          <w:sz w:val="22"/>
          <w:szCs w:val="22"/>
        </w:rPr>
        <w:t>et</w:t>
      </w:r>
      <w:proofErr w:type="gramEnd"/>
      <w:r w:rsidRPr="009F6F21">
        <w:rPr>
          <w:i/>
          <w:sz w:val="22"/>
          <w:szCs w:val="22"/>
        </w:rPr>
        <w:t xml:space="preserve">. </w:t>
      </w:r>
      <w:proofErr w:type="gramStart"/>
      <w:r w:rsidRPr="009F6F21">
        <w:rPr>
          <w:i/>
          <w:sz w:val="22"/>
          <w:szCs w:val="22"/>
        </w:rPr>
        <w:t>al</w:t>
      </w:r>
      <w:proofErr w:type="gramEnd"/>
      <w:r w:rsidRPr="009F6F21">
        <w:rPr>
          <w:sz w:val="22"/>
          <w:szCs w:val="22"/>
        </w:rPr>
        <w:t>. Role of Protein Tyrosine Phosphatases in Regulating the Immune System: Implications for Chronic Intestinal Inflammation</w:t>
      </w:r>
      <w:r w:rsidR="009F6F21">
        <w:rPr>
          <w:sz w:val="22"/>
          <w:szCs w:val="22"/>
        </w:rPr>
        <w:t xml:space="preserve">. </w:t>
      </w:r>
      <w:proofErr w:type="spellStart"/>
      <w:r w:rsidR="004F1D22">
        <w:rPr>
          <w:i/>
          <w:sz w:val="22"/>
          <w:szCs w:val="22"/>
        </w:rPr>
        <w:t>Inflamm</w:t>
      </w:r>
      <w:proofErr w:type="spellEnd"/>
      <w:r w:rsidR="004F1D22">
        <w:rPr>
          <w:i/>
          <w:sz w:val="22"/>
          <w:szCs w:val="22"/>
        </w:rPr>
        <w:t xml:space="preserve">. Bowel Dis. </w:t>
      </w:r>
      <w:r w:rsidR="009F6F21">
        <w:rPr>
          <w:sz w:val="22"/>
          <w:szCs w:val="22"/>
        </w:rPr>
        <w:t>2015. 21: 645-55.</w:t>
      </w:r>
    </w:p>
    <w:p w14:paraId="52DDB78D" w14:textId="77777777" w:rsidR="009F6F21" w:rsidRDefault="009F6F21" w:rsidP="009F6F21">
      <w:pPr>
        <w:pStyle w:val="ListParagraph"/>
        <w:numPr>
          <w:ilvl w:val="0"/>
          <w:numId w:val="2"/>
        </w:numPr>
        <w:rPr>
          <w:sz w:val="22"/>
          <w:szCs w:val="22"/>
        </w:rPr>
      </w:pPr>
      <w:proofErr w:type="spellStart"/>
      <w:r>
        <w:rPr>
          <w:sz w:val="22"/>
          <w:szCs w:val="22"/>
        </w:rPr>
        <w:t>Scharl</w:t>
      </w:r>
      <w:proofErr w:type="spellEnd"/>
      <w:r>
        <w:rPr>
          <w:sz w:val="22"/>
          <w:szCs w:val="22"/>
        </w:rPr>
        <w:t xml:space="preserve">, M. </w:t>
      </w:r>
      <w:r w:rsidRPr="009F6F21">
        <w:rPr>
          <w:i/>
          <w:sz w:val="22"/>
          <w:szCs w:val="22"/>
        </w:rPr>
        <w:t>et al</w:t>
      </w:r>
      <w:r>
        <w:rPr>
          <w:sz w:val="22"/>
          <w:szCs w:val="22"/>
        </w:rPr>
        <w:t xml:space="preserve">. Protein tyrosine phosphatase </w:t>
      </w:r>
      <w:proofErr w:type="spellStart"/>
      <w:r>
        <w:rPr>
          <w:sz w:val="22"/>
          <w:szCs w:val="22"/>
        </w:rPr>
        <w:t>nonreceptor</w:t>
      </w:r>
      <w:proofErr w:type="spellEnd"/>
      <w:r>
        <w:rPr>
          <w:sz w:val="22"/>
          <w:szCs w:val="22"/>
        </w:rPr>
        <w:t xml:space="preserve"> type 2 regulates autophagosome formation in human intestinal cells. </w:t>
      </w:r>
      <w:proofErr w:type="spellStart"/>
      <w:r>
        <w:rPr>
          <w:i/>
          <w:sz w:val="22"/>
          <w:szCs w:val="22"/>
        </w:rPr>
        <w:t>Inflamm</w:t>
      </w:r>
      <w:proofErr w:type="spellEnd"/>
      <w:r>
        <w:rPr>
          <w:i/>
          <w:sz w:val="22"/>
          <w:szCs w:val="22"/>
        </w:rPr>
        <w:t xml:space="preserve">. Bowel Dis. </w:t>
      </w:r>
      <w:r>
        <w:rPr>
          <w:sz w:val="22"/>
          <w:szCs w:val="22"/>
        </w:rPr>
        <w:t>2011</w:t>
      </w:r>
      <w:r>
        <w:rPr>
          <w:i/>
          <w:sz w:val="22"/>
          <w:szCs w:val="22"/>
        </w:rPr>
        <w:t xml:space="preserve"> </w:t>
      </w:r>
      <w:proofErr w:type="spellStart"/>
      <w:r>
        <w:rPr>
          <w:sz w:val="22"/>
          <w:szCs w:val="22"/>
        </w:rPr>
        <w:t>doi</w:t>
      </w:r>
      <w:proofErr w:type="spellEnd"/>
      <w:r>
        <w:rPr>
          <w:sz w:val="22"/>
          <w:szCs w:val="22"/>
        </w:rPr>
        <w:t xml:space="preserve">: 10.1002/ibd.21891. </w:t>
      </w:r>
    </w:p>
    <w:p w14:paraId="1ED78E0B" w14:textId="77777777" w:rsidR="004F1D22" w:rsidRPr="00E9122A" w:rsidRDefault="004F1D22" w:rsidP="00E9122A">
      <w:pPr>
        <w:ind w:left="360"/>
        <w:rPr>
          <w:sz w:val="22"/>
          <w:szCs w:val="22"/>
        </w:rPr>
      </w:pPr>
    </w:p>
    <w:p w14:paraId="4E70EC19" w14:textId="77777777" w:rsidR="00944568" w:rsidRPr="000D464C" w:rsidRDefault="00944568" w:rsidP="00F26FE4">
      <w:pPr>
        <w:rPr>
          <w:sz w:val="22"/>
          <w:szCs w:val="22"/>
        </w:rPr>
      </w:pPr>
    </w:p>
    <w:sectPr w:rsidR="00944568" w:rsidRPr="000D464C" w:rsidSect="009B1C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169"/>
    <w:multiLevelType w:val="hybridMultilevel"/>
    <w:tmpl w:val="6E42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27EB5"/>
    <w:multiLevelType w:val="hybridMultilevel"/>
    <w:tmpl w:val="996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A1"/>
    <w:rsid w:val="00046429"/>
    <w:rsid w:val="000D464C"/>
    <w:rsid w:val="002E11FD"/>
    <w:rsid w:val="002F17E8"/>
    <w:rsid w:val="003165DA"/>
    <w:rsid w:val="00376E66"/>
    <w:rsid w:val="004011D0"/>
    <w:rsid w:val="004F1D22"/>
    <w:rsid w:val="00615F79"/>
    <w:rsid w:val="008C2791"/>
    <w:rsid w:val="008D01D2"/>
    <w:rsid w:val="00921923"/>
    <w:rsid w:val="0092679E"/>
    <w:rsid w:val="00940A3D"/>
    <w:rsid w:val="00944568"/>
    <w:rsid w:val="00954FA1"/>
    <w:rsid w:val="009B1C1B"/>
    <w:rsid w:val="009F6F21"/>
    <w:rsid w:val="00A91CDA"/>
    <w:rsid w:val="00A95EAF"/>
    <w:rsid w:val="00B66D50"/>
    <w:rsid w:val="00BC2052"/>
    <w:rsid w:val="00C54456"/>
    <w:rsid w:val="00CF13D3"/>
    <w:rsid w:val="00DD1108"/>
    <w:rsid w:val="00DE2532"/>
    <w:rsid w:val="00DE5993"/>
    <w:rsid w:val="00E9122A"/>
    <w:rsid w:val="00F26FE4"/>
    <w:rsid w:val="00F5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95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6FE4"/>
    <w:rPr>
      <w:sz w:val="16"/>
      <w:szCs w:val="16"/>
    </w:rPr>
  </w:style>
  <w:style w:type="paragraph" w:styleId="CommentText">
    <w:name w:val="annotation text"/>
    <w:basedOn w:val="Normal"/>
    <w:link w:val="CommentTextChar"/>
    <w:uiPriority w:val="99"/>
    <w:semiHidden/>
    <w:unhideWhenUsed/>
    <w:rsid w:val="00F26FE4"/>
    <w:rPr>
      <w:sz w:val="20"/>
      <w:szCs w:val="20"/>
    </w:rPr>
  </w:style>
  <w:style w:type="character" w:customStyle="1" w:styleId="CommentTextChar">
    <w:name w:val="Comment Text Char"/>
    <w:basedOn w:val="DefaultParagraphFont"/>
    <w:link w:val="CommentText"/>
    <w:uiPriority w:val="99"/>
    <w:semiHidden/>
    <w:rsid w:val="00F26FE4"/>
    <w:rPr>
      <w:sz w:val="20"/>
      <w:szCs w:val="20"/>
    </w:rPr>
  </w:style>
  <w:style w:type="paragraph" w:styleId="BalloonText">
    <w:name w:val="Balloon Text"/>
    <w:basedOn w:val="Normal"/>
    <w:link w:val="BalloonTextChar"/>
    <w:uiPriority w:val="99"/>
    <w:semiHidden/>
    <w:unhideWhenUsed/>
    <w:rsid w:val="00F26FE4"/>
    <w:rPr>
      <w:rFonts w:ascii="Lucida Grande" w:hAnsi="Lucida Grande"/>
      <w:sz w:val="18"/>
      <w:szCs w:val="18"/>
    </w:rPr>
  </w:style>
  <w:style w:type="character" w:customStyle="1" w:styleId="BalloonTextChar">
    <w:name w:val="Balloon Text Char"/>
    <w:basedOn w:val="DefaultParagraphFont"/>
    <w:link w:val="BalloonText"/>
    <w:uiPriority w:val="99"/>
    <w:semiHidden/>
    <w:rsid w:val="00F26FE4"/>
    <w:rPr>
      <w:rFonts w:ascii="Lucida Grande" w:hAnsi="Lucida Grande"/>
      <w:sz w:val="18"/>
      <w:szCs w:val="18"/>
    </w:rPr>
  </w:style>
  <w:style w:type="paragraph" w:styleId="ListParagraph">
    <w:name w:val="List Paragraph"/>
    <w:basedOn w:val="Normal"/>
    <w:uiPriority w:val="34"/>
    <w:qFormat/>
    <w:rsid w:val="009F6F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6FE4"/>
    <w:rPr>
      <w:sz w:val="16"/>
      <w:szCs w:val="16"/>
    </w:rPr>
  </w:style>
  <w:style w:type="paragraph" w:styleId="CommentText">
    <w:name w:val="annotation text"/>
    <w:basedOn w:val="Normal"/>
    <w:link w:val="CommentTextChar"/>
    <w:uiPriority w:val="99"/>
    <w:semiHidden/>
    <w:unhideWhenUsed/>
    <w:rsid w:val="00F26FE4"/>
    <w:rPr>
      <w:sz w:val="20"/>
      <w:szCs w:val="20"/>
    </w:rPr>
  </w:style>
  <w:style w:type="character" w:customStyle="1" w:styleId="CommentTextChar">
    <w:name w:val="Comment Text Char"/>
    <w:basedOn w:val="DefaultParagraphFont"/>
    <w:link w:val="CommentText"/>
    <w:uiPriority w:val="99"/>
    <w:semiHidden/>
    <w:rsid w:val="00F26FE4"/>
    <w:rPr>
      <w:sz w:val="20"/>
      <w:szCs w:val="20"/>
    </w:rPr>
  </w:style>
  <w:style w:type="paragraph" w:styleId="BalloonText">
    <w:name w:val="Balloon Text"/>
    <w:basedOn w:val="Normal"/>
    <w:link w:val="BalloonTextChar"/>
    <w:uiPriority w:val="99"/>
    <w:semiHidden/>
    <w:unhideWhenUsed/>
    <w:rsid w:val="00F26FE4"/>
    <w:rPr>
      <w:rFonts w:ascii="Lucida Grande" w:hAnsi="Lucida Grande"/>
      <w:sz w:val="18"/>
      <w:szCs w:val="18"/>
    </w:rPr>
  </w:style>
  <w:style w:type="character" w:customStyle="1" w:styleId="BalloonTextChar">
    <w:name w:val="Balloon Text Char"/>
    <w:basedOn w:val="DefaultParagraphFont"/>
    <w:link w:val="BalloonText"/>
    <w:uiPriority w:val="99"/>
    <w:semiHidden/>
    <w:rsid w:val="00F26FE4"/>
    <w:rPr>
      <w:rFonts w:ascii="Lucida Grande" w:hAnsi="Lucida Grande"/>
      <w:sz w:val="18"/>
      <w:szCs w:val="18"/>
    </w:rPr>
  </w:style>
  <w:style w:type="paragraph" w:styleId="ListParagraph">
    <w:name w:val="List Paragraph"/>
    <w:basedOn w:val="Normal"/>
    <w:uiPriority w:val="34"/>
    <w:qFormat/>
    <w:rsid w:val="009F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Waldeck</dc:creator>
  <cp:keywords/>
  <dc:description/>
  <cp:lastModifiedBy>Katie Waldeck</cp:lastModifiedBy>
  <cp:revision>2</cp:revision>
  <dcterms:created xsi:type="dcterms:W3CDTF">2015-03-19T19:27:00Z</dcterms:created>
  <dcterms:modified xsi:type="dcterms:W3CDTF">2015-03-19T19:27:00Z</dcterms:modified>
</cp:coreProperties>
</file>